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pPr w:leftFromText="180" w:rightFromText="180" w:vertAnchor="text" w:horzAnchor="margin" w:tblpY="-146"/>
        <w:tblW w:w="9926" w:type="dxa"/>
        <w:tblBorders>
          <w:top w:val="single" w:sz="2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6"/>
        <w:gridCol w:w="5372"/>
        <w:gridCol w:w="1511"/>
        <w:gridCol w:w="1337"/>
      </w:tblGrid>
      <w:tr w:rsidR="00531DAB" w:rsidRPr="00531DAB" w14:paraId="50C9B52C" w14:textId="77777777" w:rsidTr="0046699E">
        <w:trPr>
          <w:trHeight w:val="620"/>
        </w:trPr>
        <w:tc>
          <w:tcPr>
            <w:tcW w:w="9926" w:type="dxa"/>
            <w:gridSpan w:val="4"/>
          </w:tcPr>
          <w:p w14:paraId="705039E3" w14:textId="77777777" w:rsidR="0046699E" w:rsidRPr="00531DAB" w:rsidRDefault="0046699E" w:rsidP="0046699E">
            <w:pPr>
              <w:spacing w:before="120"/>
              <w:jc w:val="center"/>
              <w:rPr>
                <w:rFonts w:ascii="Times New Roman" w:eastAsia="Times New Roman" w:hAnsi="Times New Roman" w:cs="Times New Roman"/>
                <w:b/>
                <w:sz w:val="32"/>
                <w:szCs w:val="32"/>
              </w:rPr>
            </w:pPr>
            <w:r w:rsidRPr="00531DAB">
              <w:rPr>
                <w:rFonts w:ascii="Times New Roman" w:eastAsia="Times New Roman" w:hAnsi="Times New Roman" w:cs="Times New Roman"/>
                <w:b/>
                <w:sz w:val="44"/>
                <w:szCs w:val="44"/>
              </w:rPr>
              <w:t>Cleveland City Board of Education</w:t>
            </w:r>
          </w:p>
        </w:tc>
      </w:tr>
      <w:tr w:rsidR="00531DAB" w:rsidRPr="00531DAB" w14:paraId="41DA523A" w14:textId="77777777" w:rsidTr="0046699E">
        <w:trPr>
          <w:trHeight w:val="620"/>
        </w:trPr>
        <w:tc>
          <w:tcPr>
            <w:tcW w:w="1706" w:type="dxa"/>
            <w:vMerge w:val="restart"/>
          </w:tcPr>
          <w:p w14:paraId="65382EA0" w14:textId="77777777" w:rsidR="0046699E" w:rsidRPr="00531DAB" w:rsidRDefault="0046699E" w:rsidP="0046699E">
            <w:pPr>
              <w:spacing w:before="120" w:after="120"/>
              <w:rPr>
                <w:rFonts w:ascii="Times New Roman" w:eastAsia="Times New Roman" w:hAnsi="Times New Roman" w:cs="Times New Roman"/>
                <w:sz w:val="16"/>
                <w:szCs w:val="16"/>
              </w:rPr>
            </w:pPr>
            <w:r w:rsidRPr="00531DAB">
              <w:rPr>
                <w:rFonts w:ascii="Times New Roman" w:eastAsia="Times New Roman" w:hAnsi="Times New Roman" w:cs="Times New Roman"/>
                <w:sz w:val="16"/>
                <w:szCs w:val="16"/>
              </w:rPr>
              <w:t>Monitoring:</w:t>
            </w:r>
          </w:p>
          <w:p w14:paraId="3761A191" w14:textId="77777777" w:rsidR="0046699E" w:rsidRPr="00531DAB" w:rsidRDefault="0046699E" w:rsidP="0046699E">
            <w:pPr>
              <w:rPr>
                <w:rFonts w:ascii="Times New Roman" w:eastAsia="Times New Roman" w:hAnsi="Times New Roman" w:cs="Times New Roman"/>
                <w:b/>
                <w:sz w:val="20"/>
                <w:szCs w:val="20"/>
              </w:rPr>
            </w:pPr>
            <w:r w:rsidRPr="00531DAB">
              <w:rPr>
                <w:rFonts w:ascii="Times New Roman" w:eastAsia="Times New Roman" w:hAnsi="Times New Roman" w:cs="Times New Roman"/>
                <w:b/>
                <w:sz w:val="18"/>
                <w:szCs w:val="18"/>
              </w:rPr>
              <w:t>Review: Annually, in February</w:t>
            </w:r>
          </w:p>
        </w:tc>
        <w:tc>
          <w:tcPr>
            <w:tcW w:w="5372" w:type="dxa"/>
            <w:vMerge w:val="restart"/>
          </w:tcPr>
          <w:p w14:paraId="378011AA" w14:textId="77777777" w:rsidR="0046699E" w:rsidRPr="00531DAB" w:rsidRDefault="0046699E" w:rsidP="0046699E">
            <w:pPr>
              <w:spacing w:before="120"/>
              <w:rPr>
                <w:rFonts w:ascii="Times New Roman" w:eastAsia="Times New Roman" w:hAnsi="Times New Roman" w:cs="Times New Roman"/>
                <w:sz w:val="16"/>
                <w:szCs w:val="16"/>
              </w:rPr>
            </w:pPr>
            <w:r w:rsidRPr="00531DAB">
              <w:rPr>
                <w:rFonts w:ascii="Times New Roman" w:eastAsia="Times New Roman" w:hAnsi="Times New Roman" w:cs="Times New Roman"/>
                <w:sz w:val="16"/>
                <w:szCs w:val="16"/>
              </w:rPr>
              <w:t>Descriptor Term:</w:t>
            </w:r>
          </w:p>
          <w:p w14:paraId="4732865E" w14:textId="77777777" w:rsidR="0046699E" w:rsidRPr="00531DAB" w:rsidRDefault="0046699E" w:rsidP="0046699E">
            <w:pPr>
              <w:jc w:val="center"/>
              <w:rPr>
                <w:rFonts w:ascii="Times New Roman" w:eastAsia="Times New Roman" w:hAnsi="Times New Roman" w:cs="Times New Roman"/>
                <w:b/>
                <w:sz w:val="28"/>
                <w:szCs w:val="28"/>
              </w:rPr>
            </w:pPr>
            <w:r w:rsidRPr="00531DAB">
              <w:rPr>
                <w:rFonts w:ascii="Times New Roman" w:eastAsia="Times New Roman" w:hAnsi="Times New Roman" w:cs="Times New Roman"/>
                <w:b/>
                <w:sz w:val="32"/>
                <w:szCs w:val="32"/>
              </w:rPr>
              <w:t>Substitute Teachers</w:t>
            </w:r>
          </w:p>
        </w:tc>
        <w:tc>
          <w:tcPr>
            <w:tcW w:w="1511" w:type="dxa"/>
          </w:tcPr>
          <w:p w14:paraId="7859954B" w14:textId="77777777" w:rsidR="0046699E" w:rsidRPr="00531DAB" w:rsidRDefault="0046699E" w:rsidP="0046699E">
            <w:pPr>
              <w:spacing w:before="60"/>
              <w:rPr>
                <w:rFonts w:ascii="Times New Roman" w:eastAsia="Times New Roman" w:hAnsi="Times New Roman" w:cs="Times New Roman"/>
                <w:sz w:val="16"/>
                <w:szCs w:val="16"/>
              </w:rPr>
            </w:pPr>
            <w:r w:rsidRPr="00531DAB">
              <w:rPr>
                <w:rFonts w:ascii="Times New Roman" w:eastAsia="Times New Roman" w:hAnsi="Times New Roman" w:cs="Times New Roman"/>
                <w:sz w:val="16"/>
                <w:szCs w:val="16"/>
              </w:rPr>
              <w:t>Descriptor Code:</w:t>
            </w:r>
          </w:p>
          <w:p w14:paraId="1FC15396" w14:textId="77777777" w:rsidR="0046699E" w:rsidRPr="00531DAB" w:rsidRDefault="0046699E" w:rsidP="0046699E">
            <w:pPr>
              <w:jc w:val="center"/>
              <w:rPr>
                <w:rFonts w:ascii="Times New Roman" w:eastAsia="Times New Roman" w:hAnsi="Times New Roman" w:cs="Times New Roman"/>
                <w:b/>
                <w:sz w:val="20"/>
                <w:szCs w:val="20"/>
              </w:rPr>
            </w:pPr>
            <w:r w:rsidRPr="00531DAB">
              <w:rPr>
                <w:rFonts w:ascii="Times New Roman" w:eastAsia="Times New Roman" w:hAnsi="Times New Roman" w:cs="Times New Roman"/>
                <w:b/>
                <w:sz w:val="20"/>
                <w:szCs w:val="20"/>
              </w:rPr>
              <w:t>5.701</w:t>
            </w:r>
          </w:p>
        </w:tc>
        <w:tc>
          <w:tcPr>
            <w:tcW w:w="1337" w:type="dxa"/>
          </w:tcPr>
          <w:p w14:paraId="56B0665A" w14:textId="77777777" w:rsidR="0046699E" w:rsidRPr="00531DAB" w:rsidRDefault="0046699E" w:rsidP="0046699E">
            <w:pPr>
              <w:spacing w:before="60"/>
              <w:rPr>
                <w:rFonts w:ascii="Times New Roman" w:eastAsia="Times New Roman" w:hAnsi="Times New Roman" w:cs="Times New Roman"/>
                <w:sz w:val="16"/>
                <w:szCs w:val="16"/>
              </w:rPr>
            </w:pPr>
            <w:r w:rsidRPr="00531DAB">
              <w:rPr>
                <w:rFonts w:ascii="Times New Roman" w:eastAsia="Times New Roman" w:hAnsi="Times New Roman" w:cs="Times New Roman"/>
                <w:sz w:val="16"/>
                <w:szCs w:val="16"/>
              </w:rPr>
              <w:t>Issued Date:</w:t>
            </w:r>
          </w:p>
          <w:p w14:paraId="485361C3" w14:textId="776A1ED8" w:rsidR="0046699E" w:rsidRPr="00531DAB" w:rsidRDefault="0046699E" w:rsidP="0046699E">
            <w:pPr>
              <w:jc w:val="center"/>
              <w:rPr>
                <w:rFonts w:ascii="Times New Roman" w:eastAsia="Times New Roman" w:hAnsi="Times New Roman" w:cs="Times New Roman"/>
                <w:b/>
                <w:sz w:val="20"/>
                <w:szCs w:val="20"/>
              </w:rPr>
            </w:pPr>
            <w:r w:rsidRPr="00B4474B">
              <w:rPr>
                <w:rFonts w:ascii="Times New Roman" w:eastAsia="Times New Roman" w:hAnsi="Times New Roman" w:cs="Times New Roman"/>
                <w:b/>
                <w:color w:val="EE0000"/>
                <w:sz w:val="20"/>
                <w:szCs w:val="20"/>
              </w:rPr>
              <w:t>0</w:t>
            </w:r>
            <w:r w:rsidR="00B4474B">
              <w:rPr>
                <w:rFonts w:ascii="Times New Roman" w:eastAsia="Times New Roman" w:hAnsi="Times New Roman" w:cs="Times New Roman"/>
                <w:b/>
                <w:color w:val="EE0000"/>
                <w:sz w:val="20"/>
                <w:szCs w:val="20"/>
              </w:rPr>
              <w:t>9</w:t>
            </w:r>
            <w:r w:rsidRPr="00B4474B">
              <w:rPr>
                <w:rFonts w:ascii="Times New Roman" w:eastAsia="Times New Roman" w:hAnsi="Times New Roman" w:cs="Times New Roman"/>
                <w:b/>
                <w:color w:val="EE0000"/>
                <w:sz w:val="20"/>
                <w:szCs w:val="20"/>
              </w:rPr>
              <w:t>/0</w:t>
            </w:r>
            <w:r w:rsidR="00B4474B">
              <w:rPr>
                <w:rFonts w:ascii="Times New Roman" w:eastAsia="Times New Roman" w:hAnsi="Times New Roman" w:cs="Times New Roman"/>
                <w:b/>
                <w:color w:val="EE0000"/>
                <w:sz w:val="20"/>
                <w:szCs w:val="20"/>
              </w:rPr>
              <w:t>2</w:t>
            </w:r>
            <w:r w:rsidRPr="00B4474B">
              <w:rPr>
                <w:rFonts w:ascii="Times New Roman" w:eastAsia="Times New Roman" w:hAnsi="Times New Roman" w:cs="Times New Roman"/>
                <w:b/>
                <w:color w:val="EE0000"/>
                <w:sz w:val="20"/>
                <w:szCs w:val="20"/>
              </w:rPr>
              <w:t>/2</w:t>
            </w:r>
            <w:r w:rsidR="00B4474B">
              <w:rPr>
                <w:rFonts w:ascii="Times New Roman" w:eastAsia="Times New Roman" w:hAnsi="Times New Roman" w:cs="Times New Roman"/>
                <w:b/>
                <w:color w:val="EE0000"/>
                <w:sz w:val="20"/>
                <w:szCs w:val="20"/>
              </w:rPr>
              <w:t>5</w:t>
            </w:r>
          </w:p>
        </w:tc>
      </w:tr>
      <w:tr w:rsidR="00531DAB" w:rsidRPr="00531DAB" w14:paraId="2FB20B37" w14:textId="77777777" w:rsidTr="0046699E">
        <w:trPr>
          <w:trHeight w:val="620"/>
        </w:trPr>
        <w:tc>
          <w:tcPr>
            <w:tcW w:w="1706" w:type="dxa"/>
            <w:vMerge/>
          </w:tcPr>
          <w:p w14:paraId="6F91537C" w14:textId="77777777" w:rsidR="0046699E" w:rsidRPr="00531DAB" w:rsidRDefault="0046699E" w:rsidP="0046699E">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c>
          <w:tcPr>
            <w:tcW w:w="5372" w:type="dxa"/>
            <w:vMerge/>
          </w:tcPr>
          <w:p w14:paraId="353CA2C6" w14:textId="77777777" w:rsidR="0046699E" w:rsidRPr="00531DAB" w:rsidRDefault="0046699E" w:rsidP="0046699E">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c>
          <w:tcPr>
            <w:tcW w:w="1511" w:type="dxa"/>
          </w:tcPr>
          <w:p w14:paraId="723D60F7" w14:textId="77777777" w:rsidR="0046699E" w:rsidRPr="00531DAB" w:rsidRDefault="0046699E" w:rsidP="0046699E">
            <w:pPr>
              <w:spacing w:before="60"/>
              <w:rPr>
                <w:rFonts w:ascii="Times New Roman" w:eastAsia="Times New Roman" w:hAnsi="Times New Roman" w:cs="Times New Roman"/>
                <w:sz w:val="16"/>
                <w:szCs w:val="16"/>
              </w:rPr>
            </w:pPr>
            <w:r w:rsidRPr="00531DAB">
              <w:rPr>
                <w:rFonts w:ascii="Times New Roman" w:eastAsia="Times New Roman" w:hAnsi="Times New Roman" w:cs="Times New Roman"/>
                <w:sz w:val="16"/>
                <w:szCs w:val="16"/>
              </w:rPr>
              <w:t>Rescinds:</w:t>
            </w:r>
          </w:p>
          <w:p w14:paraId="37BDD82B" w14:textId="77777777" w:rsidR="0046699E" w:rsidRPr="00531DAB" w:rsidRDefault="0046699E" w:rsidP="0046699E">
            <w:pPr>
              <w:jc w:val="center"/>
              <w:rPr>
                <w:rFonts w:ascii="Times New Roman" w:eastAsia="Times New Roman" w:hAnsi="Times New Roman" w:cs="Times New Roman"/>
                <w:b/>
                <w:sz w:val="20"/>
                <w:szCs w:val="20"/>
              </w:rPr>
            </w:pPr>
            <w:r w:rsidRPr="00531DAB">
              <w:rPr>
                <w:rFonts w:ascii="Times New Roman" w:eastAsia="Times New Roman" w:hAnsi="Times New Roman" w:cs="Times New Roman"/>
                <w:b/>
                <w:sz w:val="20"/>
                <w:szCs w:val="20"/>
              </w:rPr>
              <w:t xml:space="preserve"> 5.701</w:t>
            </w:r>
          </w:p>
        </w:tc>
        <w:tc>
          <w:tcPr>
            <w:tcW w:w="1337" w:type="dxa"/>
          </w:tcPr>
          <w:p w14:paraId="091ACDF4" w14:textId="77777777" w:rsidR="0046699E" w:rsidRPr="00531DAB" w:rsidRDefault="0046699E" w:rsidP="0046699E">
            <w:pPr>
              <w:spacing w:before="60"/>
              <w:rPr>
                <w:rFonts w:ascii="Times New Roman" w:eastAsia="Times New Roman" w:hAnsi="Times New Roman" w:cs="Times New Roman"/>
                <w:sz w:val="16"/>
                <w:szCs w:val="16"/>
              </w:rPr>
            </w:pPr>
            <w:r w:rsidRPr="00531DAB">
              <w:rPr>
                <w:rFonts w:ascii="Times New Roman" w:eastAsia="Times New Roman" w:hAnsi="Times New Roman" w:cs="Times New Roman"/>
                <w:sz w:val="16"/>
                <w:szCs w:val="16"/>
              </w:rPr>
              <w:t>Issued:</w:t>
            </w:r>
          </w:p>
          <w:p w14:paraId="645BC56E" w14:textId="77777777" w:rsidR="0046699E" w:rsidRPr="00531DAB" w:rsidRDefault="0046699E" w:rsidP="0046699E">
            <w:pPr>
              <w:jc w:val="center"/>
              <w:rPr>
                <w:rFonts w:ascii="Times New Roman" w:eastAsia="Times New Roman" w:hAnsi="Times New Roman" w:cs="Times New Roman"/>
                <w:b/>
                <w:sz w:val="20"/>
                <w:szCs w:val="20"/>
              </w:rPr>
            </w:pPr>
            <w:r w:rsidRPr="00531DAB">
              <w:rPr>
                <w:rFonts w:ascii="Times New Roman" w:eastAsia="Times New Roman" w:hAnsi="Times New Roman" w:cs="Times New Roman"/>
                <w:b/>
                <w:sz w:val="20"/>
                <w:szCs w:val="20"/>
              </w:rPr>
              <w:t>08/15/22</w:t>
            </w:r>
          </w:p>
        </w:tc>
      </w:tr>
    </w:tbl>
    <w:p w14:paraId="2D8823B2" w14:textId="77777777" w:rsidR="0046699E" w:rsidRPr="00531DAB" w:rsidRDefault="0046699E">
      <w:pPr>
        <w:spacing w:after="0" w:line="240" w:lineRule="auto"/>
        <w:jc w:val="both"/>
        <w:rPr>
          <w:rFonts w:ascii="Times" w:eastAsia="Times" w:hAnsi="Times" w:cs="Times"/>
          <w:sz w:val="24"/>
          <w:szCs w:val="24"/>
        </w:rPr>
      </w:pPr>
      <w:bookmarkStart w:id="0" w:name="bookmark=id.gjdgxs" w:colFirst="0" w:colLast="0"/>
      <w:bookmarkEnd w:id="0"/>
    </w:p>
    <w:p w14:paraId="6D65B1BA" w14:textId="58BE7F7B" w:rsidR="00B74C36" w:rsidRPr="00531DAB" w:rsidRDefault="001C3CE8">
      <w:pPr>
        <w:spacing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Substitute teachers are those teachers used to replace teachers on leave or to ﬁll temporary vacancies until a licensed teacher is available.</w:t>
      </w:r>
      <w:r w:rsidRPr="00531DAB">
        <w:rPr>
          <w:rFonts w:ascii="Times New Roman" w:eastAsia="Times New Roman" w:hAnsi="Times New Roman" w:cs="Times New Roman"/>
          <w:sz w:val="24"/>
          <w:szCs w:val="24"/>
          <w:vertAlign w:val="superscript"/>
        </w:rPr>
        <w:t>1,2</w:t>
      </w:r>
      <w:r w:rsidRPr="00531DAB">
        <w:rPr>
          <w:rFonts w:ascii="Times New Roman" w:eastAsia="Times New Roman" w:hAnsi="Times New Roman" w:cs="Times New Roman"/>
          <w:sz w:val="24"/>
          <w:szCs w:val="24"/>
        </w:rPr>
        <w:t xml:space="preserve"> Substitute teachers may be employed and paid directly by the Board or by a third-party employer through an agreement between such third-party employer and the Board </w:t>
      </w:r>
    </w:p>
    <w:p w14:paraId="7160195D" w14:textId="417F6A6B"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Substitute teachers employed by third party entities shall be subject to the same unemployment beneﬁt eligibility conditions as substitute teachers employed directly by the Board.</w:t>
      </w:r>
      <w:r w:rsidRPr="00531DAB">
        <w:rPr>
          <w:rFonts w:ascii="Times New Roman" w:eastAsia="Times New Roman" w:hAnsi="Times New Roman" w:cs="Times New Roman"/>
          <w:sz w:val="24"/>
          <w:szCs w:val="24"/>
          <w:vertAlign w:val="superscript"/>
        </w:rPr>
        <w:t>2</w:t>
      </w:r>
    </w:p>
    <w:p w14:paraId="0EB9FB1A" w14:textId="77777777"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t>APPLICATION/QUALIFICATIONS</w:t>
      </w:r>
    </w:p>
    <w:p w14:paraId="0FE2C0BB"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Criminal history record checks and ﬁngerprinting of applicants for substitute teaching are required.</w:t>
      </w:r>
      <w:r w:rsidRPr="00531DAB">
        <w:rPr>
          <w:rFonts w:ascii="Times New Roman" w:eastAsia="Times New Roman" w:hAnsi="Times New Roman" w:cs="Times New Roman"/>
          <w:sz w:val="24"/>
          <w:szCs w:val="24"/>
          <w:vertAlign w:val="superscript"/>
        </w:rPr>
        <w:t>3</w:t>
      </w:r>
    </w:p>
    <w:p w14:paraId="090886D3" w14:textId="7CDCC07D"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Applicants with revoked licenses or suspended licenses or certiﬁcates according to the State Board of Education shall not be hired.</w:t>
      </w:r>
      <w:r w:rsidRPr="00531DAB">
        <w:rPr>
          <w:rFonts w:ascii="Times New Roman" w:eastAsia="Times New Roman" w:hAnsi="Times New Roman" w:cs="Times New Roman"/>
          <w:sz w:val="24"/>
          <w:szCs w:val="24"/>
          <w:vertAlign w:val="superscript"/>
        </w:rPr>
        <w:t>4</w:t>
      </w:r>
    </w:p>
    <w:p w14:paraId="27290BAB"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Qualiﬁcations for substitute teachers shall be determined by the Director of Schools in compliance with board policy, state laws, and State Board of Education rules and regulations.</w:t>
      </w:r>
    </w:p>
    <w:p w14:paraId="6CB16FBE"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A list of substitute teacher(s) will be prepared by the Office of Human Resources who will maintain file(s) which may include transcripts, credentials, recommendations, and other pertinent information.</w:t>
      </w:r>
    </w:p>
    <w:p w14:paraId="6E18B6F2" w14:textId="77777777"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t>COMPENSATION</w:t>
      </w:r>
    </w:p>
    <w:p w14:paraId="452F438C" w14:textId="34C9595B"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If employed directly by the district, the compensation of substitute teachers shall be determined annually by the Board.</w:t>
      </w:r>
    </w:p>
    <w:p w14:paraId="413F1F69" w14:textId="792F136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 xml:space="preserve">Retired teachers serving as substitutes who do not have an active teaching license shall be paid the same as a retired substitute teacher with an active teaching license. This only applies to teachers who retired after July 1, </w:t>
      </w:r>
      <w:r w:rsidR="00531DAB" w:rsidRPr="00531DAB">
        <w:rPr>
          <w:rFonts w:ascii="Times New Roman" w:eastAsia="Times New Roman" w:hAnsi="Times New Roman" w:cs="Times New Roman"/>
          <w:sz w:val="24"/>
          <w:szCs w:val="24"/>
        </w:rPr>
        <w:t>2011,</w:t>
      </w:r>
      <w:r w:rsidRPr="00531DAB">
        <w:rPr>
          <w:rFonts w:ascii="Times New Roman" w:eastAsia="Times New Roman" w:hAnsi="Times New Roman" w:cs="Times New Roman"/>
          <w:sz w:val="24"/>
          <w:szCs w:val="24"/>
        </w:rPr>
        <w:t xml:space="preserve"> through July 1, 2016.</w:t>
      </w:r>
      <w:r w:rsidRPr="00531DAB">
        <w:rPr>
          <w:rFonts w:ascii="Times New Roman" w:eastAsia="Times New Roman" w:hAnsi="Times New Roman" w:cs="Times New Roman"/>
          <w:sz w:val="24"/>
          <w:szCs w:val="24"/>
          <w:vertAlign w:val="superscript"/>
        </w:rPr>
        <w:t>5</w:t>
      </w:r>
      <w:r w:rsidRPr="00531DAB">
        <w:rPr>
          <w:rFonts w:ascii="Times New Roman" w:eastAsia="Times New Roman" w:hAnsi="Times New Roman" w:cs="Times New Roman"/>
          <w:sz w:val="24"/>
          <w:szCs w:val="24"/>
        </w:rPr>
        <w:t xml:space="preserve"> </w:t>
      </w:r>
    </w:p>
    <w:p w14:paraId="2DA4D8E9" w14:textId="77777777"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t>CERTIFICATION</w:t>
      </w:r>
    </w:p>
    <w:p w14:paraId="28222D5A" w14:textId="6654291D"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 xml:space="preserve">When substituting for a regular teacher who has been absent for </w:t>
      </w:r>
      <w:r w:rsidR="00B4474B">
        <w:rPr>
          <w:rFonts w:ascii="Times New Roman" w:eastAsia="Times New Roman" w:hAnsi="Times New Roman" w:cs="Times New Roman"/>
          <w:color w:val="EE0000"/>
          <w:sz w:val="24"/>
          <w:szCs w:val="24"/>
        </w:rPr>
        <w:t xml:space="preserve">thirty (30) </w:t>
      </w:r>
      <w:r w:rsidRPr="00B4474B">
        <w:rPr>
          <w:rFonts w:ascii="Times New Roman" w:eastAsia="Times New Roman" w:hAnsi="Times New Roman" w:cs="Times New Roman"/>
          <w:strike/>
          <w:sz w:val="24"/>
          <w:szCs w:val="24"/>
        </w:rPr>
        <w:t>twenty (20)</w:t>
      </w:r>
      <w:r w:rsidRPr="00531DAB">
        <w:rPr>
          <w:rFonts w:ascii="Times New Roman" w:eastAsia="Times New Roman" w:hAnsi="Times New Roman" w:cs="Times New Roman"/>
          <w:sz w:val="24"/>
          <w:szCs w:val="24"/>
        </w:rPr>
        <w:t xml:space="preserve"> consecutive days, a substitute teacher shall possess a teaching certiﬁcate with endorsement in the discipline(s) to be taught or shall be a retired teacher that held the appropriate endorsement.</w:t>
      </w:r>
      <w:r w:rsidRPr="00531DAB">
        <w:rPr>
          <w:rFonts w:ascii="Times New Roman" w:eastAsia="Times New Roman" w:hAnsi="Times New Roman" w:cs="Times New Roman"/>
          <w:sz w:val="24"/>
          <w:szCs w:val="24"/>
          <w:vertAlign w:val="superscript"/>
        </w:rPr>
        <w:t>6</w:t>
      </w:r>
      <w:r w:rsidRPr="00531DAB">
        <w:rPr>
          <w:rFonts w:ascii="Times New Roman" w:eastAsia="Times New Roman" w:hAnsi="Times New Roman" w:cs="Times New Roman"/>
          <w:sz w:val="24"/>
          <w:szCs w:val="24"/>
        </w:rPr>
        <w:t xml:space="preserve"> When substituting for a teacher without sick leave, the substitute shall be certiﬁed and paid according to the state salary schedule.</w:t>
      </w:r>
      <w:r w:rsidRPr="00531DAB">
        <w:rPr>
          <w:rFonts w:ascii="Times New Roman" w:eastAsia="Times New Roman" w:hAnsi="Times New Roman" w:cs="Times New Roman"/>
          <w:sz w:val="24"/>
          <w:szCs w:val="24"/>
          <w:vertAlign w:val="superscript"/>
        </w:rPr>
        <w:t>1</w:t>
      </w:r>
    </w:p>
    <w:p w14:paraId="726AF9F5" w14:textId="77777777" w:rsidR="0046699E" w:rsidRPr="00531DAB" w:rsidRDefault="0046699E">
      <w:pPr>
        <w:spacing w:before="240" w:after="0" w:line="240" w:lineRule="auto"/>
        <w:jc w:val="both"/>
        <w:rPr>
          <w:rFonts w:ascii="Times New Roman" w:eastAsia="Times New Roman" w:hAnsi="Times New Roman" w:cs="Times New Roman"/>
          <w:b/>
          <w:sz w:val="24"/>
          <w:szCs w:val="24"/>
        </w:rPr>
      </w:pPr>
    </w:p>
    <w:p w14:paraId="42328CD8" w14:textId="48AEBBE4"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lastRenderedPageBreak/>
        <w:t>EMERGENCY NEEDS</w:t>
      </w:r>
    </w:p>
    <w:p w14:paraId="28520852"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All teacher assistants, administrative assistants, and clerical personnel are approved substitute teachers for use in emergency situations. Emergency use shall be deﬁned as less than a full day due to the regular or substitute teacher being unable to arrive on time or remain for the full day.</w:t>
      </w:r>
    </w:p>
    <w:p w14:paraId="6E160110"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Said substitutes shall receive the proportionate equivalent salary regular substitute teachers would receive under similar circumstances or their regular salary, if higher; however, they shall not receive pay for both positions at the same time.</w:t>
      </w:r>
    </w:p>
    <w:p w14:paraId="5D33A365" w14:textId="77777777"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t>TRAINING AND ORIENTATION</w:t>
      </w:r>
    </w:p>
    <w:p w14:paraId="211038C7"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The Director of Schools shall be responsible for ensuring that there are appropriate training and development programs for substitute teachers that includes the annual school safety training required by state law.</w:t>
      </w:r>
      <w:r w:rsidRPr="00531DAB">
        <w:rPr>
          <w:rFonts w:ascii="Times New Roman" w:eastAsia="Times New Roman" w:hAnsi="Times New Roman" w:cs="Times New Roman"/>
          <w:sz w:val="24"/>
          <w:szCs w:val="24"/>
          <w:vertAlign w:val="superscript"/>
        </w:rPr>
        <w:t>7</w:t>
      </w:r>
    </w:p>
    <w:p w14:paraId="065EF107" w14:textId="77777777"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t>RESPONSIBILITIES</w:t>
      </w:r>
    </w:p>
    <w:p w14:paraId="03515F01"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Substitute teachers shall assume the same responsibilities as the regular teacher, including, but not limited to, bus duty and playground supervision.</w:t>
      </w:r>
    </w:p>
    <w:p w14:paraId="63B66B73" w14:textId="77777777" w:rsidR="00B74C36" w:rsidRPr="00531DAB" w:rsidRDefault="001C3CE8">
      <w:pPr>
        <w:spacing w:before="240" w:after="0" w:line="240" w:lineRule="auto"/>
        <w:jc w:val="both"/>
        <w:rPr>
          <w:rFonts w:ascii="Times New Roman" w:eastAsia="Times New Roman" w:hAnsi="Times New Roman" w:cs="Times New Roman"/>
          <w:b/>
          <w:sz w:val="24"/>
          <w:szCs w:val="24"/>
        </w:rPr>
      </w:pPr>
      <w:r w:rsidRPr="00531DAB">
        <w:rPr>
          <w:rFonts w:ascii="Times New Roman" w:eastAsia="Times New Roman" w:hAnsi="Times New Roman" w:cs="Times New Roman"/>
          <w:b/>
          <w:sz w:val="24"/>
          <w:szCs w:val="24"/>
        </w:rPr>
        <w:t>RE-EMPLOYMENT/TERMINATION</w:t>
      </w:r>
    </w:p>
    <w:p w14:paraId="6844FC8F" w14:textId="77777777" w:rsidR="00B74C36" w:rsidRPr="00531DAB" w:rsidRDefault="001C3CE8">
      <w:pPr>
        <w:spacing w:before="240" w:after="0" w:line="240" w:lineRule="auto"/>
        <w:jc w:val="both"/>
        <w:rPr>
          <w:rFonts w:ascii="Times New Roman" w:eastAsia="Times New Roman" w:hAnsi="Times New Roman" w:cs="Times New Roman"/>
          <w:sz w:val="24"/>
          <w:szCs w:val="24"/>
        </w:rPr>
      </w:pPr>
      <w:r w:rsidRPr="00531DAB">
        <w:rPr>
          <w:rFonts w:ascii="Times New Roman" w:eastAsia="Times New Roman" w:hAnsi="Times New Roman" w:cs="Times New Roman"/>
          <w:sz w:val="24"/>
          <w:szCs w:val="24"/>
        </w:rPr>
        <w:t>On an annual basis, the Director of Schools, with input from the principals, shall determine which substitute teachers performed at an acceptable level. Substitute teachers who performed below an acceptable level shall not be re-employed.</w:t>
      </w:r>
    </w:p>
    <w:p w14:paraId="610D93A2" w14:textId="70EBCC13" w:rsidR="00B74C36" w:rsidRPr="00531DAB" w:rsidRDefault="001C3CE8">
      <w:pPr>
        <w:spacing w:before="240" w:after="0" w:line="240" w:lineRule="auto"/>
        <w:jc w:val="both"/>
        <w:rPr>
          <w:rFonts w:ascii="Times New Roman" w:eastAsia="Times New Roman" w:hAnsi="Times New Roman" w:cs="Times New Roman"/>
          <w:sz w:val="24"/>
          <w:szCs w:val="24"/>
        </w:rPr>
        <w:sectPr w:rsidR="00B74C36" w:rsidRPr="00531DAB" w:rsidSect="0046699E">
          <w:headerReference w:type="default" r:id="rId9"/>
          <w:footerReference w:type="default" r:id="rId10"/>
          <w:footerReference w:type="first" r:id="rId11"/>
          <w:pgSz w:w="12240" w:h="15840"/>
          <w:pgMar w:top="1440" w:right="1152" w:bottom="1440" w:left="1152" w:header="720" w:footer="720" w:gutter="0"/>
          <w:lnNumType w:countBy="1"/>
          <w:pgNumType w:start="1"/>
          <w:cols w:space="720"/>
          <w:titlePg/>
          <w:docGrid w:linePitch="299"/>
        </w:sectPr>
      </w:pPr>
      <w:r w:rsidRPr="00531DAB">
        <w:rPr>
          <w:rFonts w:ascii="Times New Roman" w:eastAsia="Times New Roman" w:hAnsi="Times New Roman" w:cs="Times New Roman"/>
          <w:sz w:val="24"/>
          <w:szCs w:val="24"/>
        </w:rPr>
        <w:t>All substitutes shall be responsible for providing correct addresses and phone numbers and for notifying the principal and/or third-party employer if they wish to terminate their service as substitutes.</w:t>
      </w: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3"/>
        <w:gridCol w:w="4415"/>
      </w:tblGrid>
      <w:tr w:rsidR="002E4C2D" w:rsidRPr="007D690D" w14:paraId="2F3D4BC3" w14:textId="77777777" w:rsidTr="001E5F85">
        <w:trPr>
          <w:trHeight w:val="215"/>
        </w:trPr>
        <w:tc>
          <w:tcPr>
            <w:tcW w:w="5143" w:type="dxa"/>
          </w:tcPr>
          <w:p w14:paraId="5C259DB6" w14:textId="77777777" w:rsidR="002E4C2D" w:rsidRPr="007D690D" w:rsidRDefault="002E4C2D" w:rsidP="001E5F85">
            <w:pPr>
              <w:spacing w:before="240"/>
              <w:rPr>
                <w:rFonts w:ascii="Times-Roman" w:hAnsi="Times-Roman" w:cs="Times-Roman"/>
                <w:sz w:val="18"/>
                <w:szCs w:val="18"/>
              </w:rPr>
            </w:pPr>
            <w:r w:rsidRPr="007D690D">
              <w:rPr>
                <w:rFonts w:ascii="Times-Roman" w:hAnsi="Times-Roman" w:cs="Times-Roman"/>
                <w:sz w:val="18"/>
                <w:szCs w:val="18"/>
              </w:rPr>
              <w:t>_____________________________</w:t>
            </w:r>
          </w:p>
        </w:tc>
        <w:tc>
          <w:tcPr>
            <w:tcW w:w="4415" w:type="dxa"/>
          </w:tcPr>
          <w:p w14:paraId="2A202BCE" w14:textId="77777777" w:rsidR="002E4C2D" w:rsidRPr="007D690D" w:rsidRDefault="002E4C2D" w:rsidP="001E5F85">
            <w:pPr>
              <w:spacing w:before="240"/>
              <w:rPr>
                <w:rFonts w:ascii="Times-Roman" w:hAnsi="Times-Roman" w:cs="Times-Roman"/>
                <w:sz w:val="18"/>
                <w:szCs w:val="18"/>
              </w:rPr>
            </w:pPr>
            <w:r w:rsidRPr="006D31C4">
              <w:rPr>
                <w:rFonts w:ascii="Times-Roman" w:hAnsi="Times-Roman" w:cs="Times-Roman"/>
                <w:color w:val="000000"/>
                <w:sz w:val="18"/>
                <w:szCs w:val="18"/>
              </w:rPr>
              <w:t>_____________________________</w:t>
            </w:r>
          </w:p>
        </w:tc>
      </w:tr>
      <w:tr w:rsidR="002E4C2D" w:rsidRPr="007D690D" w14:paraId="021049BE" w14:textId="77777777" w:rsidTr="001E5F85">
        <w:trPr>
          <w:trHeight w:val="323"/>
        </w:trPr>
        <w:tc>
          <w:tcPr>
            <w:tcW w:w="5143" w:type="dxa"/>
          </w:tcPr>
          <w:p w14:paraId="5D904E15" w14:textId="77777777" w:rsidR="002E4C2D" w:rsidRPr="007D690D" w:rsidRDefault="002E4C2D" w:rsidP="001E5F85">
            <w:pPr>
              <w:spacing w:before="120"/>
              <w:ind w:right="720"/>
              <w:rPr>
                <w:rFonts w:ascii="Times-Roman" w:hAnsi="Times-Roman" w:cs="Times-Roman"/>
                <w:sz w:val="18"/>
                <w:szCs w:val="18"/>
              </w:rPr>
            </w:pPr>
            <w:r w:rsidRPr="007D690D">
              <w:rPr>
                <w:rFonts w:ascii="Times-Roman" w:hAnsi="Times-Roman" w:cs="Times-Roman"/>
                <w:sz w:val="18"/>
                <w:szCs w:val="18"/>
              </w:rPr>
              <w:t>Legal References</w:t>
            </w:r>
          </w:p>
        </w:tc>
        <w:tc>
          <w:tcPr>
            <w:tcW w:w="4415" w:type="dxa"/>
          </w:tcPr>
          <w:p w14:paraId="04105818" w14:textId="77777777" w:rsidR="002E4C2D" w:rsidRPr="007D690D" w:rsidRDefault="002E4C2D" w:rsidP="001E5F85">
            <w:pPr>
              <w:spacing w:before="120"/>
              <w:rPr>
                <w:rFonts w:ascii="Times-Roman" w:hAnsi="Times-Roman" w:cs="Times-Roman"/>
                <w:sz w:val="18"/>
                <w:szCs w:val="18"/>
              </w:rPr>
            </w:pPr>
            <w:r w:rsidRPr="006D31C4">
              <w:rPr>
                <w:rFonts w:ascii="Times-Roman" w:hAnsi="Times-Roman" w:cs="Times-Roman"/>
                <w:color w:val="000000"/>
                <w:sz w:val="18"/>
                <w:szCs w:val="18"/>
              </w:rPr>
              <w:t>Cross References</w:t>
            </w:r>
          </w:p>
        </w:tc>
      </w:tr>
      <w:tr w:rsidR="002E4C2D" w:rsidRPr="007D690D" w14:paraId="3A5ED331" w14:textId="77777777" w:rsidTr="001E5F85">
        <w:trPr>
          <w:trHeight w:val="2286"/>
        </w:trPr>
        <w:tc>
          <w:tcPr>
            <w:tcW w:w="5143" w:type="dxa"/>
          </w:tcPr>
          <w:p w14:paraId="45E9BA44" w14:textId="77777777" w:rsidR="002E4C2D" w:rsidRPr="007D690D" w:rsidRDefault="00000000" w:rsidP="002E4C2D">
            <w:pPr>
              <w:pStyle w:val="ListParagraph"/>
              <w:numPr>
                <w:ilvl w:val="0"/>
                <w:numId w:val="2"/>
              </w:numPr>
              <w:spacing w:before="240"/>
              <w:ind w:right="720"/>
              <w:rPr>
                <w:rFonts w:ascii="Times-Roman" w:hAnsi="Times-Roman" w:cs="Times-Roman"/>
                <w:sz w:val="18"/>
                <w:szCs w:val="18"/>
              </w:rPr>
            </w:pPr>
            <w:hyperlink r:id="rId12">
              <w:r w:rsidR="002E4C2D" w:rsidRPr="05AFAF0F">
                <w:rPr>
                  <w:rStyle w:val="Hyperlink"/>
                  <w:rFonts w:ascii="Times-Roman" w:hAnsi="Times-Roman" w:cs="Times-Roman"/>
                  <w:sz w:val="18"/>
                  <w:szCs w:val="18"/>
                </w:rPr>
                <w:t>TRR/MS 0520-01-02-.04(5)</w:t>
              </w:r>
            </w:hyperlink>
          </w:p>
          <w:p w14:paraId="329B9E0B" w14:textId="77777777" w:rsidR="002E4C2D" w:rsidRPr="007D690D" w:rsidRDefault="00000000" w:rsidP="002E4C2D">
            <w:pPr>
              <w:pStyle w:val="ListParagraph"/>
              <w:numPr>
                <w:ilvl w:val="0"/>
                <w:numId w:val="2"/>
              </w:numPr>
              <w:spacing w:before="240"/>
              <w:ind w:right="720"/>
              <w:rPr>
                <w:rFonts w:ascii="Times-Roman" w:hAnsi="Times-Roman" w:cs="Times-Roman"/>
                <w:sz w:val="18"/>
                <w:szCs w:val="18"/>
              </w:rPr>
            </w:pPr>
            <w:hyperlink r:id="rId13">
              <w:r w:rsidR="002E4C2D" w:rsidRPr="05AFAF0F">
                <w:rPr>
                  <w:rStyle w:val="Hyperlink"/>
                  <w:rFonts w:ascii="Times-Roman" w:hAnsi="Times-Roman" w:cs="Times-Roman"/>
                  <w:sz w:val="18"/>
                  <w:szCs w:val="18"/>
                </w:rPr>
                <w:t>TCA 49-5-709</w:t>
              </w:r>
            </w:hyperlink>
          </w:p>
          <w:p w14:paraId="170AE696" w14:textId="77777777" w:rsidR="002E4C2D" w:rsidRPr="007D690D" w:rsidRDefault="00000000" w:rsidP="002E4C2D">
            <w:pPr>
              <w:pStyle w:val="ListParagraph"/>
              <w:numPr>
                <w:ilvl w:val="0"/>
                <w:numId w:val="2"/>
              </w:numPr>
              <w:spacing w:before="240"/>
              <w:ind w:right="720"/>
              <w:rPr>
                <w:rFonts w:ascii="Times-Roman" w:hAnsi="Times-Roman" w:cs="Times-Roman"/>
                <w:sz w:val="18"/>
                <w:szCs w:val="18"/>
              </w:rPr>
            </w:pPr>
            <w:hyperlink r:id="rId14">
              <w:r w:rsidR="002E4C2D" w:rsidRPr="05AFAF0F">
                <w:rPr>
                  <w:rStyle w:val="Hyperlink"/>
                  <w:rFonts w:ascii="Times-Roman" w:hAnsi="Times-Roman" w:cs="Times-Roman"/>
                  <w:sz w:val="18"/>
                  <w:szCs w:val="18"/>
                </w:rPr>
                <w:t>TCA 49-5-413(a)(2)</w:t>
              </w:r>
            </w:hyperlink>
          </w:p>
          <w:p w14:paraId="183CD320" w14:textId="77777777" w:rsidR="002E4C2D" w:rsidRPr="007D690D" w:rsidRDefault="00000000" w:rsidP="002E4C2D">
            <w:pPr>
              <w:pStyle w:val="ListParagraph"/>
              <w:numPr>
                <w:ilvl w:val="0"/>
                <w:numId w:val="2"/>
              </w:numPr>
              <w:spacing w:before="240"/>
              <w:ind w:right="720"/>
              <w:rPr>
                <w:rFonts w:ascii="Times-Roman" w:hAnsi="Times-Roman" w:cs="Times-Roman"/>
                <w:sz w:val="18"/>
                <w:szCs w:val="18"/>
              </w:rPr>
            </w:pPr>
            <w:hyperlink r:id="rId15">
              <w:r w:rsidR="002E4C2D" w:rsidRPr="05AFAF0F">
                <w:rPr>
                  <w:rStyle w:val="Hyperlink"/>
                  <w:rFonts w:ascii="Times-Roman" w:hAnsi="Times-Roman" w:cs="Times-Roman"/>
                  <w:sz w:val="18"/>
                  <w:szCs w:val="18"/>
                </w:rPr>
                <w:t>TCA 49-2-203(a)(14)</w:t>
              </w:r>
            </w:hyperlink>
            <w:r w:rsidR="002E4C2D">
              <w:rPr>
                <w:rStyle w:val="Hyperlink"/>
                <w:rFonts w:ascii="Times-Roman" w:hAnsi="Times-Roman" w:cs="Times-Roman"/>
                <w:sz w:val="18"/>
                <w:szCs w:val="18"/>
              </w:rPr>
              <w:t>(C)</w:t>
            </w:r>
          </w:p>
          <w:p w14:paraId="707C22CD" w14:textId="77777777" w:rsidR="002E4C2D" w:rsidRDefault="00000000" w:rsidP="002E4C2D">
            <w:pPr>
              <w:pStyle w:val="ListParagraph"/>
              <w:numPr>
                <w:ilvl w:val="0"/>
                <w:numId w:val="2"/>
              </w:numPr>
              <w:spacing w:before="240"/>
              <w:ind w:right="720"/>
              <w:rPr>
                <w:rFonts w:ascii="Times-Roman" w:hAnsi="Times-Roman" w:cs="Times-Roman"/>
                <w:sz w:val="18"/>
                <w:szCs w:val="18"/>
              </w:rPr>
            </w:pPr>
            <w:hyperlink r:id="rId16">
              <w:r w:rsidR="002E4C2D" w:rsidRPr="05AFAF0F">
                <w:rPr>
                  <w:rStyle w:val="Hyperlink"/>
                  <w:rFonts w:ascii="Times-Roman" w:hAnsi="Times-Roman" w:cs="Times-Roman"/>
                  <w:sz w:val="18"/>
                  <w:szCs w:val="18"/>
                </w:rPr>
                <w:t>TCA 49-3-312(b)</w:t>
              </w:r>
            </w:hyperlink>
          </w:p>
          <w:p w14:paraId="5AD6D87D" w14:textId="23ADD3C8" w:rsidR="00B4474B" w:rsidRPr="00B4474B" w:rsidRDefault="00000000" w:rsidP="00B4474B">
            <w:pPr>
              <w:pStyle w:val="ListParagraph"/>
              <w:numPr>
                <w:ilvl w:val="0"/>
                <w:numId w:val="2"/>
              </w:numPr>
              <w:spacing w:before="240"/>
              <w:ind w:right="720"/>
              <w:rPr>
                <w:rFonts w:ascii="Times-Roman" w:hAnsi="Times-Roman" w:cs="Times-Roman"/>
                <w:color w:val="FF0000"/>
                <w:sz w:val="18"/>
                <w:szCs w:val="18"/>
                <w:u w:val="single"/>
              </w:rPr>
            </w:pPr>
            <w:hyperlink r:id="rId17">
              <w:r w:rsidR="002E4C2D" w:rsidRPr="05AFAF0F">
                <w:rPr>
                  <w:rStyle w:val="Hyperlink"/>
                  <w:rFonts w:ascii="Times-Roman" w:hAnsi="Times-Roman" w:cs="Times-Roman"/>
                  <w:sz w:val="18"/>
                  <w:szCs w:val="18"/>
                </w:rPr>
                <w:t>TCA 49-3-312(a)</w:t>
              </w:r>
            </w:hyperlink>
            <w:r w:rsidR="002E4C2D" w:rsidRPr="05AFAF0F">
              <w:rPr>
                <w:rFonts w:ascii="Times-Roman" w:hAnsi="Times-Roman" w:cs="Times-Roman"/>
                <w:sz w:val="18"/>
                <w:szCs w:val="18"/>
              </w:rPr>
              <w:t xml:space="preserve">; </w:t>
            </w:r>
            <w:hyperlink r:id="rId18">
              <w:r w:rsidR="002E4C2D" w:rsidRPr="05AFAF0F">
                <w:rPr>
                  <w:rStyle w:val="Hyperlink"/>
                  <w:rFonts w:ascii="Times-Roman" w:hAnsi="Times-Roman" w:cs="Times-Roman"/>
                  <w:sz w:val="18"/>
                  <w:szCs w:val="18"/>
                </w:rPr>
                <w:t>TRR/MS 0520-01-02-.04(5)(b)</w:t>
              </w:r>
            </w:hyperlink>
            <w:r w:rsidR="00B4474B">
              <w:t xml:space="preserve">; </w:t>
            </w:r>
            <w:hyperlink r:id="rId19" w:history="1">
              <w:r w:rsidR="002E4C2D" w:rsidRPr="00B4474B">
                <w:rPr>
                  <w:rStyle w:val="Hyperlink"/>
                  <w:rFonts w:ascii="Times-Roman" w:hAnsi="Times-Roman" w:cs="Times-Roman"/>
                  <w:color w:val="FF0000"/>
                  <w:sz w:val="18"/>
                  <w:szCs w:val="18"/>
                </w:rPr>
                <w:t>Public Acts of 202</w:t>
              </w:r>
              <w:r w:rsidR="00B4474B" w:rsidRPr="00B4474B">
                <w:rPr>
                  <w:rStyle w:val="Hyperlink"/>
                  <w:rFonts w:ascii="Times-Roman" w:hAnsi="Times-Roman" w:cs="Times-Roman"/>
                  <w:color w:val="FF0000"/>
                  <w:sz w:val="18"/>
                  <w:szCs w:val="18"/>
                </w:rPr>
                <w:t>5</w:t>
              </w:r>
              <w:r w:rsidR="002E4C2D" w:rsidRPr="00B4474B">
                <w:rPr>
                  <w:rStyle w:val="Hyperlink"/>
                  <w:rFonts w:ascii="Times-Roman" w:hAnsi="Times-Roman" w:cs="Times-Roman"/>
                  <w:color w:val="FF0000"/>
                  <w:sz w:val="18"/>
                  <w:szCs w:val="18"/>
                </w:rPr>
                <w:t xml:space="preserve">, Chapter No. </w:t>
              </w:r>
              <w:r w:rsidR="00B4474B" w:rsidRPr="00B4474B">
                <w:rPr>
                  <w:rStyle w:val="Hyperlink"/>
                  <w:rFonts w:ascii="Times-Roman" w:hAnsi="Times-Roman" w:cs="Times-Roman"/>
                  <w:color w:val="FF0000"/>
                  <w:sz w:val="18"/>
                  <w:szCs w:val="18"/>
                </w:rPr>
                <w:t>2</w:t>
              </w:r>
              <w:r w:rsidR="002E4C2D" w:rsidRPr="00B4474B">
                <w:rPr>
                  <w:rStyle w:val="Hyperlink"/>
                  <w:rFonts w:ascii="Times-Roman" w:hAnsi="Times-Roman" w:cs="Times-Roman"/>
                  <w:color w:val="FF0000"/>
                  <w:sz w:val="18"/>
                  <w:szCs w:val="18"/>
                </w:rPr>
                <w:t>35</w:t>
              </w:r>
            </w:hyperlink>
          </w:p>
          <w:p w14:paraId="4ABB7619" w14:textId="6BDE715D" w:rsidR="002E4C2D" w:rsidRPr="007D690D" w:rsidRDefault="00B4474B" w:rsidP="002E4C2D">
            <w:pPr>
              <w:pStyle w:val="ListParagraph"/>
              <w:numPr>
                <w:ilvl w:val="0"/>
                <w:numId w:val="2"/>
              </w:numPr>
              <w:spacing w:before="240"/>
              <w:ind w:right="720"/>
              <w:rPr>
                <w:rFonts w:ascii="Times-Roman" w:hAnsi="Times-Roman" w:cs="Times-Roman"/>
                <w:sz w:val="18"/>
                <w:szCs w:val="18"/>
              </w:rPr>
            </w:pPr>
            <w:r>
              <w:rPr>
                <w:rStyle w:val="Hyperlink"/>
                <w:rFonts w:ascii="Times-Roman" w:hAnsi="Times-Roman" w:cs="Times-Roman"/>
                <w:sz w:val="18"/>
                <w:szCs w:val="18"/>
              </w:rPr>
              <w:t xml:space="preserve">TCA 49-2-203(a)(14)(A); </w:t>
            </w:r>
            <w:r w:rsidR="002E4C2D">
              <w:rPr>
                <w:rStyle w:val="Hyperlink"/>
                <w:rFonts w:ascii="Times-Roman" w:hAnsi="Times-Roman" w:cs="Times-Roman"/>
                <w:sz w:val="18"/>
                <w:szCs w:val="18"/>
              </w:rPr>
              <w:t>TCA 49-6-805(7)</w:t>
            </w:r>
          </w:p>
          <w:p w14:paraId="14AE8130" w14:textId="77777777" w:rsidR="002E4C2D" w:rsidRPr="007D690D" w:rsidRDefault="002E4C2D" w:rsidP="001E5F85">
            <w:pPr>
              <w:pStyle w:val="ListParagraph"/>
              <w:spacing w:before="240"/>
              <w:ind w:left="360" w:right="720"/>
              <w:rPr>
                <w:rFonts w:ascii="Times-Roman" w:hAnsi="Times-Roman" w:cs="Times-Roman"/>
                <w:sz w:val="18"/>
                <w:szCs w:val="18"/>
              </w:rPr>
            </w:pPr>
          </w:p>
        </w:tc>
        <w:tc>
          <w:tcPr>
            <w:tcW w:w="4415" w:type="dxa"/>
          </w:tcPr>
          <w:p w14:paraId="059EDBB1" w14:textId="77777777" w:rsidR="002E4C2D" w:rsidRPr="007D690D" w:rsidRDefault="002E4C2D" w:rsidP="001E5F85">
            <w:pPr>
              <w:spacing w:before="240"/>
              <w:rPr>
                <w:rFonts w:ascii="Times-Roman" w:hAnsi="Times-Roman" w:cs="Times-Roman"/>
                <w:sz w:val="18"/>
                <w:szCs w:val="18"/>
              </w:rPr>
            </w:pPr>
            <w:r>
              <w:rPr>
                <w:rFonts w:ascii="Times-Roman" w:hAnsi="Times-Roman" w:cs="Times-Roman"/>
                <w:sz w:val="18"/>
                <w:szCs w:val="18"/>
              </w:rPr>
              <w:t>Background Investigations 5.118</w:t>
            </w:r>
            <w:r>
              <w:rPr>
                <w:rFonts w:ascii="Times-Roman" w:hAnsi="Times-Roman" w:cs="Times-Roman"/>
                <w:sz w:val="18"/>
                <w:szCs w:val="18"/>
              </w:rPr>
              <w:br/>
              <w:t>Employment of Retirees 5.119</w:t>
            </w:r>
          </w:p>
        </w:tc>
      </w:tr>
    </w:tbl>
    <w:p w14:paraId="452BF3EF" w14:textId="77777777" w:rsidR="00B74C36" w:rsidRPr="00531DAB" w:rsidRDefault="00B74C36" w:rsidP="002E4C2D">
      <w:pPr>
        <w:suppressLineNumbers/>
        <w:spacing w:before="240" w:after="0" w:line="240" w:lineRule="auto"/>
        <w:rPr>
          <w:rFonts w:ascii="Times" w:eastAsia="Times" w:hAnsi="Times" w:cs="Times"/>
          <w:sz w:val="24"/>
          <w:szCs w:val="24"/>
        </w:rPr>
      </w:pPr>
    </w:p>
    <w:sectPr w:rsidR="00B74C36" w:rsidRPr="00531DAB" w:rsidSect="0046699E">
      <w:type w:val="continuous"/>
      <w:pgSz w:w="12240" w:h="15840"/>
      <w:pgMar w:top="1440" w:right="1152" w:bottom="1440" w:left="1152" w:header="720" w:footer="720" w:gutter="0"/>
      <w:lnNumType w:countBy="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E273" w14:textId="77777777" w:rsidR="005B4C7E" w:rsidRDefault="005B4C7E">
      <w:pPr>
        <w:spacing w:after="0" w:line="240" w:lineRule="auto"/>
      </w:pPr>
      <w:r>
        <w:separator/>
      </w:r>
    </w:p>
  </w:endnote>
  <w:endnote w:type="continuationSeparator" w:id="0">
    <w:p w14:paraId="484B70DA" w14:textId="77777777" w:rsidR="005B4C7E" w:rsidRDefault="005B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172C" w14:textId="229AEA06" w:rsidR="00B74C36" w:rsidRDefault="001C3CE8">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Page </w:t>
    </w:r>
    <w:r>
      <w:rPr>
        <w:rFonts w:ascii="Times New Roman" w:eastAsia="Times New Roman" w:hAnsi="Times New Roman" w:cs="Times New Roman"/>
        <w:color w:val="000000"/>
        <w:sz w:val="16"/>
        <w:szCs w:val="16"/>
      </w:rPr>
      <w:fldChar w:fldCharType="begin"/>
    </w:r>
    <w:r>
      <w:rPr>
        <w:rFonts w:ascii="Times New Roman" w:eastAsia="Times New Roman" w:hAnsi="Times New Roman" w:cs="Times New Roman"/>
        <w:color w:val="000000"/>
        <w:sz w:val="16"/>
        <w:szCs w:val="16"/>
      </w:rPr>
      <w:instrText>PAGE</w:instrText>
    </w:r>
    <w:r>
      <w:rPr>
        <w:rFonts w:ascii="Times New Roman" w:eastAsia="Times New Roman" w:hAnsi="Times New Roman" w:cs="Times New Roman"/>
        <w:color w:val="000000"/>
        <w:sz w:val="16"/>
        <w:szCs w:val="16"/>
      </w:rPr>
      <w:fldChar w:fldCharType="separate"/>
    </w:r>
    <w:r w:rsidR="0046699E">
      <w:rPr>
        <w:rFonts w:ascii="Times New Roman" w:eastAsia="Times New Roman" w:hAnsi="Times New Roman" w:cs="Times New Roman"/>
        <w:noProof/>
        <w:color w:val="000000"/>
        <w:sz w:val="16"/>
        <w:szCs w:val="16"/>
      </w:rPr>
      <w:t>2</w:t>
    </w:r>
    <w:r>
      <w:rPr>
        <w:rFonts w:ascii="Times New Roman" w:eastAsia="Times New Roman" w:hAnsi="Times New Roman" w:cs="Times New Roman"/>
        <w:color w:val="000000"/>
        <w:sz w:val="16"/>
        <w:szCs w:val="16"/>
      </w:rPr>
      <w:fldChar w:fldCharType="end"/>
    </w:r>
    <w:r>
      <w:rPr>
        <w:rFonts w:ascii="Times New Roman" w:eastAsia="Times New Roman" w:hAnsi="Times New Roman" w:cs="Times New Roman"/>
        <w:color w:val="000000"/>
        <w:sz w:val="16"/>
        <w:szCs w:val="16"/>
      </w:rPr>
      <w:t xml:space="preserve"> of </w:t>
    </w:r>
    <w:r>
      <w:rPr>
        <w:rFonts w:ascii="Times New Roman" w:eastAsia="Times New Roman" w:hAnsi="Times New Roman" w:cs="Times New Roman"/>
        <w:color w:val="000000"/>
        <w:sz w:val="16"/>
        <w:szCs w:val="16"/>
      </w:rPr>
      <w:fldChar w:fldCharType="begin"/>
    </w:r>
    <w:r>
      <w:rPr>
        <w:rFonts w:ascii="Times New Roman" w:eastAsia="Times New Roman" w:hAnsi="Times New Roman" w:cs="Times New Roman"/>
        <w:color w:val="000000"/>
        <w:sz w:val="16"/>
        <w:szCs w:val="16"/>
      </w:rPr>
      <w:instrText>NUMPAGES</w:instrText>
    </w:r>
    <w:r>
      <w:rPr>
        <w:rFonts w:ascii="Times New Roman" w:eastAsia="Times New Roman" w:hAnsi="Times New Roman" w:cs="Times New Roman"/>
        <w:color w:val="000000"/>
        <w:sz w:val="16"/>
        <w:szCs w:val="16"/>
      </w:rPr>
      <w:fldChar w:fldCharType="separate"/>
    </w:r>
    <w:r w:rsidR="0046699E">
      <w:rPr>
        <w:rFonts w:ascii="Times New Roman" w:eastAsia="Times New Roman" w:hAnsi="Times New Roman" w:cs="Times New Roman"/>
        <w:noProof/>
        <w:color w:val="000000"/>
        <w:sz w:val="16"/>
        <w:szCs w:val="16"/>
      </w:rPr>
      <w:t>2</w:t>
    </w:r>
    <w:r>
      <w:rPr>
        <w:rFonts w:ascii="Times New Roman" w:eastAsia="Times New Roman" w:hAnsi="Times New Roman" w:cs="Times New Roman"/>
        <w:color w:val="000000"/>
        <w:sz w:val="16"/>
        <w:szCs w:val="16"/>
      </w:rPr>
      <w:fldChar w:fldCharType="end"/>
    </w:r>
  </w:p>
  <w:p w14:paraId="5DD0CC72" w14:textId="77777777" w:rsidR="00B74C36" w:rsidRDefault="00B74C36">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1416" w14:textId="77777777" w:rsidR="00B74C36" w:rsidRDefault="001C3CE8">
    <w:pPr>
      <w:pBdr>
        <w:top w:val="nil"/>
        <w:left w:val="nil"/>
        <w:bottom w:val="nil"/>
        <w:right w:val="nil"/>
        <w:between w:val="nil"/>
      </w:pBdr>
      <w:tabs>
        <w:tab w:val="center" w:pos="4680"/>
        <w:tab w:val="right" w:pos="9360"/>
        <w:tab w:val="left" w:pos="1365"/>
      </w:tabs>
      <w:spacing w:after="0" w:line="240" w:lineRule="auto"/>
      <w:rPr>
        <w:rFonts w:ascii="Times New Roman" w:eastAsia="Times New Roman" w:hAnsi="Times New Roman" w:cs="Times New Roman"/>
        <w:color w:val="000000"/>
        <w:sz w:val="16"/>
        <w:szCs w:val="16"/>
      </w:rPr>
    </w:pPr>
    <w:r>
      <w:rPr>
        <w:noProof/>
      </w:rPr>
      <mc:AlternateContent>
        <mc:Choice Requires="wps">
          <w:drawing>
            <wp:anchor distT="4294967295" distB="4294967295" distL="114300" distR="114300" simplePos="0" relativeHeight="251659264" behindDoc="0" locked="0" layoutInCell="1" hidden="0" allowOverlap="1" wp14:anchorId="6DAB0772" wp14:editId="55498F62">
              <wp:simplePos x="0" y="0"/>
              <wp:positionH relativeFrom="column">
                <wp:posOffset>-126999</wp:posOffset>
              </wp:positionH>
              <wp:positionV relativeFrom="paragraph">
                <wp:posOffset>81296</wp:posOffset>
              </wp:positionV>
              <wp:extent cx="0" cy="19050"/>
              <wp:effectExtent l="0" t="0" r="0" b="0"/>
              <wp:wrapNone/>
              <wp:docPr id="4" name="Straight Arrow Connector 4"/>
              <wp:cNvGraphicFramePr/>
              <a:graphic xmlns:a="http://schemas.openxmlformats.org/drawingml/2006/main">
                <a:graphicData uri="http://schemas.microsoft.com/office/word/2010/wordprocessingShape">
                  <wps:wsp>
                    <wps:cNvCnPr/>
                    <wps:spPr>
                      <a:xfrm>
                        <a:off x="2019553" y="3780000"/>
                        <a:ext cx="6652895" cy="0"/>
                      </a:xfrm>
                      <a:prstGeom prst="straightConnector1">
                        <a:avLst/>
                      </a:prstGeom>
                      <a:noFill/>
                      <a:ln w="19050" cap="flat" cmpd="sng">
                        <a:solidFill>
                          <a:schemeClr val="dk1"/>
                        </a:solidFill>
                        <a:prstDash val="solid"/>
                        <a:round/>
                        <a:headEnd type="none" w="sm" len="sm"/>
                        <a:tailEnd type="none" w="sm" len="sm"/>
                      </a:ln>
                    </wps:spPr>
                    <wps:bodyPr/>
                  </wps:wsp>
                </a:graphicData>
              </a:graphic>
            </wp:anchor>
          </w:drawing>
        </mc:Choice>
        <mc:Fallback xmlns:w16sdtfl="http://schemas.microsoft.com/office/word/2024/wordml/sdtformatlock" xmlns:w16du="http://schemas.microsoft.com/office/word/2023/wordml/word16du">
          <w:pict>
            <v:shapetype w14:anchorId="232CD970" id="_x0000_t32" coordsize="21600,21600" o:spt="32" o:oned="t" path="m,l21600,21600e" filled="f">
              <v:path arrowok="t" fillok="f" o:connecttype="none"/>
              <o:lock v:ext="edit" shapetype="t"/>
            </v:shapetype>
            <v:shape id="Straight Arrow Connector 4" o:spid="_x0000_s1026" type="#_x0000_t32" style="position:absolute;margin-left:-10pt;margin-top:6.4pt;width:0;height:1.5pt;z-index:251659264;visibility:visible;mso-wrap-style:square;mso-wrap-distance-left:9pt;mso-wrap-distance-top:.jmm;mso-wrap-distance-right:9pt;mso-wrap-distance-bottom:.jmm;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" strokecolor="black [3200]" strokeweight="1.5pt">
              <v:stroke startarrowwidth="narrow" startarrowlength="short" endarrowwidth="narrow" endarrowlength="short"/>
            </v:shape>
          </w:pict>
        </mc:Fallback>
      </mc:AlternateContent>
    </w:r>
  </w:p>
  <w:p w14:paraId="70B182B4" w14:textId="77777777" w:rsidR="00B74C36" w:rsidRDefault="001C3CE8">
    <w:pPr>
      <w:pBdr>
        <w:top w:val="nil"/>
        <w:left w:val="nil"/>
        <w:bottom w:val="nil"/>
        <w:right w:val="nil"/>
        <w:between w:val="nil"/>
      </w:pBdr>
      <w:tabs>
        <w:tab w:val="center" w:pos="4680"/>
        <w:tab w:val="right" w:pos="9360"/>
        <w:tab w:val="left" w:pos="1365"/>
      </w:tabs>
      <w:spacing w:before="60"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16"/>
        <w:szCs w:val="16"/>
      </w:rPr>
      <w:tab/>
      <w:t>Version Date: July 10, 2024</w:t>
    </w:r>
    <w:r>
      <w:rPr>
        <w:rFonts w:ascii="Times New Roman" w:eastAsia="Times New Roman" w:hAnsi="Times New Roman" w:cs="Times New Roman"/>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2FD8" w14:textId="77777777" w:rsidR="005B4C7E" w:rsidRDefault="005B4C7E">
      <w:pPr>
        <w:spacing w:after="0" w:line="240" w:lineRule="auto"/>
      </w:pPr>
      <w:r>
        <w:separator/>
      </w:r>
    </w:p>
  </w:footnote>
  <w:footnote w:type="continuationSeparator" w:id="0">
    <w:p w14:paraId="2BFB1926" w14:textId="77777777" w:rsidR="005B4C7E" w:rsidRDefault="005B4C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C1DC2" w14:textId="77777777" w:rsidR="00B74C36" w:rsidRDefault="001C3CE8">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Substitute Teachers</w:t>
    </w:r>
    <w:r>
      <w:rPr>
        <w:rFonts w:ascii="Times New Roman" w:eastAsia="Times New Roman" w:hAnsi="Times New Roman" w:cs="Times New Roman"/>
        <w:b/>
        <w:color w:val="000000"/>
        <w:sz w:val="16"/>
        <w:szCs w:val="16"/>
      </w:rPr>
      <w:tab/>
    </w:r>
    <w:r>
      <w:rPr>
        <w:rFonts w:ascii="Times New Roman" w:eastAsia="Times New Roman" w:hAnsi="Times New Roman" w:cs="Times New Roman"/>
        <w:b/>
        <w:color w:val="000000"/>
        <w:sz w:val="16"/>
        <w:szCs w:val="16"/>
      </w:rPr>
      <w:tab/>
      <w:t>5.701</w:t>
    </w:r>
  </w:p>
  <w:p w14:paraId="172E5134" w14:textId="77777777" w:rsidR="00B74C36" w:rsidRDefault="001C3CE8">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b/>
        <w:color w:val="000000"/>
        <w:sz w:val="16"/>
        <w:szCs w:val="16"/>
      </w:rPr>
    </w:pPr>
    <w:r>
      <w:rPr>
        <w:noProof/>
      </w:rPr>
      <mc:AlternateContent>
        <mc:Choice Requires="wps">
          <w:drawing>
            <wp:anchor distT="4294967295" distB="4294967295" distL="114300" distR="114300" simplePos="0" relativeHeight="251658240" behindDoc="0" locked="0" layoutInCell="1" hidden="0" allowOverlap="1" wp14:anchorId="102301D8" wp14:editId="2A0A7158">
              <wp:simplePos x="0" y="0"/>
              <wp:positionH relativeFrom="column">
                <wp:posOffset>-114299</wp:posOffset>
              </wp:positionH>
              <wp:positionV relativeFrom="paragraph">
                <wp:posOffset>5096</wp:posOffset>
              </wp:positionV>
              <wp:extent cx="0" cy="28575"/>
              <wp:effectExtent l="0" t="0" r="0" b="0"/>
              <wp:wrapNone/>
              <wp:docPr id="3" name="Straight Arrow Connector 3"/>
              <wp:cNvGraphicFramePr/>
              <a:graphic xmlns:a="http://schemas.openxmlformats.org/drawingml/2006/main">
                <a:graphicData uri="http://schemas.microsoft.com/office/word/2010/wordprocessingShape">
                  <wps:wsp>
                    <wps:cNvCnPr/>
                    <wps:spPr>
                      <a:xfrm>
                        <a:off x="2054160" y="3780000"/>
                        <a:ext cx="6583680" cy="0"/>
                      </a:xfrm>
                      <a:prstGeom prst="straightConnector1">
                        <a:avLst/>
                      </a:prstGeom>
                      <a:noFill/>
                      <a:ln w="28575" cap="flat" cmpd="sng">
                        <a:solidFill>
                          <a:srgbClr val="0C0C0C"/>
                        </a:solidFill>
                        <a:prstDash val="solid"/>
                        <a:round/>
                        <a:headEnd type="none" w="sm" len="sm"/>
                        <a:tailEnd type="none" w="sm" len="sm"/>
                      </a:ln>
                    </wps:spPr>
                    <wps:bodyPr/>
                  </wps:wsp>
                </a:graphicData>
              </a:graphic>
            </wp:anchor>
          </w:drawing>
        </mc:Choice>
        <mc:Fallback xmlns:w16sdtfl="http://schemas.microsoft.com/office/word/2024/wordml/sdtformatlock" xmlns:w16du="http://schemas.microsoft.com/office/word/2023/wordml/word16du">
          <w:pict>
            <v:shapetype w14:anchorId="69704B4B" id="_x0000_t32" coordsize="21600,21600" o:spt="32" o:oned="t" path="m,l21600,21600e" filled="f">
              <v:path arrowok="t" fillok="f" o:connecttype="none"/>
              <o:lock v:ext="edit" shapetype="t"/>
            </v:shapetype>
            <v:shape id="Straight Arrow Connector 3" o:spid="_x0000_s1026" type="#_x0000_t32" style="position:absolute;margin-left:-9pt;margin-top:.4pt;width:0;height:2.25pt;z-index:251658240;visibility:visible;mso-wrap-style:square;mso-wrap-distance-left:9pt;mso-wrap-distance-top:.jmm;mso-wrap-distance-right:9pt;mso-wrap-distance-bottom:.jmm;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" strokecolor="#0c0c0c" strokeweight="2.25pt">
              <v:stroke startarrowwidth="narrow" startarrowlength="short" endarrowwidth="narrow" endarrowlength="shor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A4084"/>
    <w:multiLevelType w:val="multilevel"/>
    <w:tmpl w:val="91E6B0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37776945">
    <w:abstractNumId w:val="0"/>
  </w:num>
  <w:num w:numId="2" w16cid:durableId="354581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C36"/>
    <w:rsid w:val="00047599"/>
    <w:rsid w:val="000B7D25"/>
    <w:rsid w:val="00123F07"/>
    <w:rsid w:val="00190678"/>
    <w:rsid w:val="001C3CE8"/>
    <w:rsid w:val="001E604C"/>
    <w:rsid w:val="002D26BE"/>
    <w:rsid w:val="002E4C2D"/>
    <w:rsid w:val="0046699E"/>
    <w:rsid w:val="00531DAB"/>
    <w:rsid w:val="005815FB"/>
    <w:rsid w:val="005B4C7E"/>
    <w:rsid w:val="00726E4C"/>
    <w:rsid w:val="00B4474B"/>
    <w:rsid w:val="00B74C36"/>
    <w:rsid w:val="00CF1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0BF3"/>
  <w15:docId w15:val="{B61B130D-9A36-5340-9765-616E1FCB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CC8"/>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paragraph" w:styleId="FootnoteText">
    <w:name w:val="footnote text"/>
    <w:basedOn w:val="Normal"/>
    <w:link w:val="FootnoteTextChar"/>
    <w:uiPriority w:val="99"/>
    <w:semiHidden/>
    <w:unhideWhenUsed/>
    <w:rsid w:val="00661D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1DB5"/>
    <w:rPr>
      <w:sz w:val="20"/>
      <w:szCs w:val="20"/>
    </w:rPr>
  </w:style>
  <w:style w:type="character" w:styleId="FootnoteReference">
    <w:name w:val="footnote reference"/>
    <w:basedOn w:val="DefaultParagraphFont"/>
    <w:uiPriority w:val="99"/>
    <w:semiHidden/>
    <w:unhideWhenUsed/>
    <w:rsid w:val="00661DB5"/>
    <w:rPr>
      <w:vertAlign w:val="superscript"/>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2E4C2D"/>
    <w:rPr>
      <w:color w:val="0000FF" w:themeColor="hyperlink"/>
      <w:u w:val="single"/>
    </w:rPr>
  </w:style>
  <w:style w:type="character" w:styleId="FollowedHyperlink">
    <w:name w:val="FollowedHyperlink"/>
    <w:basedOn w:val="DefaultParagraphFont"/>
    <w:uiPriority w:val="99"/>
    <w:semiHidden/>
    <w:unhideWhenUsed/>
    <w:rsid w:val="00B447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al.tsba.net/state-statutes/t-c-a-&#167;-49-5-709-substitute-teachers" TargetMode="External"/><Relationship Id="rId18" Type="http://schemas.openxmlformats.org/officeDocument/2006/relationships/hyperlink" Target="https://publications.tnsosfiles.com/rules/0520/0520.ht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ublications.tnsosfiles.com/rules/0520/0520.htm" TargetMode="External"/><Relationship Id="rId17" Type="http://schemas.openxmlformats.org/officeDocument/2006/relationships/hyperlink" Target="https://legal.tsba.net/state-statutes/t-c-a-&#167;-49-3-312-substitute-teachers" TargetMode="External"/><Relationship Id="rId2" Type="http://schemas.openxmlformats.org/officeDocument/2006/relationships/customXml" Target="../customXml/item2.xml"/><Relationship Id="rId16" Type="http://schemas.openxmlformats.org/officeDocument/2006/relationships/hyperlink" Target="https://legal.tsba.net/state-statutes/t-c-a-&#167;-49-3-312-substitute-teach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legal.tsba.net/state-statutes/t-c-a-&#167;-49-2-203-duties-and-powers" TargetMode="External"/><Relationship Id="rId10" Type="http://schemas.openxmlformats.org/officeDocument/2006/relationships/footer" Target="footer1.xml"/><Relationship Id="rId19" Type="http://schemas.openxmlformats.org/officeDocument/2006/relationships/hyperlink" Target="https://publications.tnsosfiles.com/acts/113/pub/pc0735.pdf"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legal.tsba.net/state-statutes/t-c-a-&#167;-49-5-413-investigation-of-applicants-for-teaching-or-child-care-posi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Ld6rBFqUrOlgisIfx4m57ZWzWA==">CgMxLjAyCWlkLmdqZGd4czgAciExbzA2QXlycVRTYTdxb2ozaFNMcTdjTGU0NUh0andMRzI=</go:docsCustomData>
</go:gDocsCustomXmlDataStorage>
</file>

<file path=customXml/itemProps1.xml><?xml version="1.0" encoding="utf-8"?>
<ds:datastoreItem xmlns:ds="http://schemas.openxmlformats.org/officeDocument/2006/customXml" ds:itemID="{196B85FD-551C-134D-84A9-6D5B1233095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TSBA</dc:creator>
  <cp:lastModifiedBy>Jeff Elliott</cp:lastModifiedBy>
  <cp:revision>2</cp:revision>
  <cp:lastPrinted>2024-08-14T16:09:00Z</cp:lastPrinted>
  <dcterms:created xsi:type="dcterms:W3CDTF">2025-07-18T13:03:00Z</dcterms:created>
  <dcterms:modified xsi:type="dcterms:W3CDTF">2025-07-18T13:03:00Z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